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E1E93" w14:textId="77777777" w:rsidR="00873AA0" w:rsidRPr="002B720B" w:rsidRDefault="00873AA0" w:rsidP="004C263C">
      <w:pPr>
        <w:jc w:val="center"/>
        <w:rPr>
          <w:rFonts w:ascii="Book Antiqua" w:hAnsi="Book Antiqua"/>
          <w:sz w:val="36"/>
          <w:szCs w:val="36"/>
        </w:rPr>
      </w:pPr>
      <w:r w:rsidRPr="002B720B">
        <w:rPr>
          <w:rFonts w:ascii="Book Antiqua" w:hAnsi="Book Antiqua"/>
          <w:sz w:val="36"/>
          <w:szCs w:val="36"/>
        </w:rPr>
        <w:t>{Insert Organization}</w:t>
      </w:r>
    </w:p>
    <w:p w14:paraId="316E1E94" w14:textId="77777777" w:rsidR="00873AA0" w:rsidRPr="002B720B" w:rsidRDefault="00873AA0" w:rsidP="004C263C">
      <w:pPr>
        <w:jc w:val="center"/>
        <w:rPr>
          <w:rFonts w:ascii="Book Antiqua" w:hAnsi="Book Antiqua"/>
          <w:b/>
          <w:sz w:val="24"/>
          <w:szCs w:val="24"/>
        </w:rPr>
      </w:pPr>
      <w:r w:rsidRPr="002B720B">
        <w:rPr>
          <w:rFonts w:ascii="Book Antiqua" w:hAnsi="Book Antiqua"/>
          <w:b/>
          <w:sz w:val="28"/>
          <w:szCs w:val="28"/>
        </w:rPr>
        <w:t>OVERPAYMENT POLICY – COMMERCIAL INSURANCE CARRIERS</w:t>
      </w:r>
    </w:p>
    <w:p w14:paraId="316E1E95" w14:textId="77777777" w:rsidR="00662668" w:rsidRPr="002B720B" w:rsidRDefault="00662668" w:rsidP="004C263C">
      <w:pPr>
        <w:jc w:val="both"/>
        <w:rPr>
          <w:rFonts w:ascii="Book Antiqua" w:hAnsi="Book Antiqua"/>
          <w:sz w:val="20"/>
          <w:szCs w:val="20"/>
        </w:rPr>
      </w:pPr>
      <w:r w:rsidRPr="00B84F72">
        <w:rPr>
          <w:rFonts w:ascii="Book Antiqua" w:hAnsi="Book Antiqua"/>
          <w:b/>
          <w:sz w:val="20"/>
          <w:szCs w:val="20"/>
        </w:rPr>
        <w:t>Purpose</w:t>
      </w:r>
      <w:r w:rsidRPr="002B720B">
        <w:rPr>
          <w:rFonts w:ascii="Book Antiqua" w:hAnsi="Book Antiqua"/>
          <w:sz w:val="20"/>
          <w:szCs w:val="20"/>
        </w:rPr>
        <w:t>: To provide a mechanism for processing overpayments received from a commercial insurance carrier.</w:t>
      </w:r>
    </w:p>
    <w:p w14:paraId="316E1E96" w14:textId="77777777" w:rsidR="00662668" w:rsidRPr="002B720B" w:rsidRDefault="00662668" w:rsidP="004C263C">
      <w:pPr>
        <w:jc w:val="both"/>
        <w:rPr>
          <w:rFonts w:ascii="Book Antiqua" w:hAnsi="Book Antiqua"/>
          <w:sz w:val="20"/>
          <w:szCs w:val="20"/>
        </w:rPr>
      </w:pPr>
      <w:r w:rsidRPr="00B84F72">
        <w:rPr>
          <w:rFonts w:ascii="Book Antiqua" w:hAnsi="Book Antiqua"/>
          <w:b/>
          <w:sz w:val="20"/>
          <w:szCs w:val="20"/>
        </w:rPr>
        <w:t>Policy</w:t>
      </w:r>
      <w:r w:rsidRPr="002B720B">
        <w:rPr>
          <w:rFonts w:ascii="Book Antiqua" w:hAnsi="Book Antiqua"/>
          <w:sz w:val="20"/>
          <w:szCs w:val="20"/>
        </w:rPr>
        <w:t xml:space="preserve">: </w:t>
      </w:r>
      <w:proofErr w:type="spellStart"/>
      <w:r w:rsidRPr="002B720B">
        <w:rPr>
          <w:rFonts w:ascii="Book Antiqua" w:hAnsi="Book Antiqua"/>
          <w:sz w:val="20"/>
          <w:szCs w:val="20"/>
        </w:rPr>
        <w:t>Indentified</w:t>
      </w:r>
      <w:proofErr w:type="spellEnd"/>
      <w:r w:rsidRPr="002B720B">
        <w:rPr>
          <w:rFonts w:ascii="Book Antiqua" w:hAnsi="Book Antiqua"/>
          <w:sz w:val="20"/>
          <w:szCs w:val="20"/>
        </w:rPr>
        <w:t xml:space="preserve"> commercial insurance overpayments shall be promptly processed as per the contractual agreements.</w:t>
      </w:r>
    </w:p>
    <w:p w14:paraId="316E1E97" w14:textId="77777777" w:rsidR="00662668" w:rsidRPr="002B720B" w:rsidRDefault="00662668" w:rsidP="004C263C">
      <w:pPr>
        <w:jc w:val="both"/>
        <w:rPr>
          <w:rFonts w:ascii="Book Antiqua" w:hAnsi="Book Antiqua"/>
          <w:b/>
          <w:sz w:val="20"/>
          <w:szCs w:val="20"/>
        </w:rPr>
      </w:pPr>
      <w:r w:rsidRPr="002B720B">
        <w:rPr>
          <w:rFonts w:ascii="Book Antiqua" w:hAnsi="Book Antiqua"/>
          <w:b/>
          <w:sz w:val="20"/>
          <w:szCs w:val="20"/>
        </w:rPr>
        <w:t>Procedures</w:t>
      </w:r>
    </w:p>
    <w:p w14:paraId="316E1E98" w14:textId="77777777" w:rsidR="00662668" w:rsidRPr="002B720B" w:rsidRDefault="00662668" w:rsidP="004C263C">
      <w:pPr>
        <w:pStyle w:val="ListParagraph"/>
        <w:numPr>
          <w:ilvl w:val="0"/>
          <w:numId w:val="1"/>
        </w:numPr>
        <w:jc w:val="both"/>
        <w:rPr>
          <w:rFonts w:ascii="Book Antiqua" w:hAnsi="Book Antiqua"/>
          <w:sz w:val="20"/>
          <w:szCs w:val="20"/>
        </w:rPr>
      </w:pPr>
      <w:r w:rsidRPr="002B720B">
        <w:rPr>
          <w:rFonts w:ascii="Book Antiqua" w:hAnsi="Book Antiqua"/>
          <w:sz w:val="20"/>
          <w:szCs w:val="20"/>
        </w:rPr>
        <w:t>When overpayment is identified, the Reimbursement Coordinator</w:t>
      </w:r>
      <w:r w:rsidR="004C263C">
        <w:rPr>
          <w:rFonts w:ascii="Book Antiqua" w:hAnsi="Book Antiqua"/>
          <w:sz w:val="20"/>
          <w:szCs w:val="20"/>
        </w:rPr>
        <w:t xml:space="preserve"> (“RC”)</w:t>
      </w:r>
      <w:r w:rsidRPr="002B720B">
        <w:rPr>
          <w:rFonts w:ascii="Book Antiqua" w:hAnsi="Book Antiqua"/>
          <w:sz w:val="20"/>
          <w:szCs w:val="20"/>
        </w:rPr>
        <w:t xml:space="preserve"> will research for accuracy </w:t>
      </w:r>
      <w:r w:rsidR="00B84F72">
        <w:rPr>
          <w:rFonts w:ascii="Book Antiqua" w:hAnsi="Book Antiqua"/>
          <w:sz w:val="20"/>
          <w:szCs w:val="20"/>
        </w:rPr>
        <w:t xml:space="preserve">and confirm the overpayment amount </w:t>
      </w:r>
      <w:r w:rsidRPr="002B720B">
        <w:rPr>
          <w:rFonts w:ascii="Book Antiqua" w:hAnsi="Book Antiqua"/>
          <w:sz w:val="20"/>
          <w:szCs w:val="20"/>
        </w:rPr>
        <w:t xml:space="preserve">within 10 </w:t>
      </w:r>
      <w:r w:rsidR="004C263C">
        <w:rPr>
          <w:rFonts w:ascii="Book Antiqua" w:hAnsi="Book Antiqua"/>
          <w:sz w:val="20"/>
          <w:szCs w:val="20"/>
        </w:rPr>
        <w:t xml:space="preserve">business </w:t>
      </w:r>
      <w:r w:rsidRPr="002B720B">
        <w:rPr>
          <w:rFonts w:ascii="Book Antiqua" w:hAnsi="Book Antiqua"/>
          <w:sz w:val="20"/>
          <w:szCs w:val="20"/>
        </w:rPr>
        <w:t>days of identification.</w:t>
      </w:r>
    </w:p>
    <w:p w14:paraId="316E1E99" w14:textId="77777777" w:rsidR="00662668" w:rsidRPr="002B720B" w:rsidRDefault="00662668" w:rsidP="004C263C">
      <w:pPr>
        <w:pStyle w:val="ListParagraph"/>
        <w:jc w:val="both"/>
        <w:rPr>
          <w:rFonts w:ascii="Book Antiqua" w:hAnsi="Book Antiqua"/>
          <w:sz w:val="20"/>
          <w:szCs w:val="20"/>
        </w:rPr>
      </w:pPr>
    </w:p>
    <w:p w14:paraId="316E1E9A" w14:textId="77777777" w:rsidR="00662668" w:rsidRPr="002B720B" w:rsidRDefault="00662668" w:rsidP="004C263C">
      <w:pPr>
        <w:pStyle w:val="ListParagraph"/>
        <w:numPr>
          <w:ilvl w:val="0"/>
          <w:numId w:val="1"/>
        </w:numPr>
        <w:jc w:val="both"/>
        <w:rPr>
          <w:rFonts w:ascii="Book Antiqua" w:hAnsi="Book Antiqua"/>
          <w:sz w:val="20"/>
          <w:szCs w:val="20"/>
        </w:rPr>
      </w:pPr>
      <w:r w:rsidRPr="002B720B">
        <w:rPr>
          <w:rFonts w:ascii="Book Antiqua" w:hAnsi="Book Antiqua"/>
          <w:sz w:val="20"/>
          <w:szCs w:val="20"/>
        </w:rPr>
        <w:t xml:space="preserve">Once confirmed, the RC will place the refund information on the Overpayment Spreadsheet </w:t>
      </w:r>
      <w:r w:rsidR="004C263C">
        <w:rPr>
          <w:rFonts w:ascii="Book Antiqua" w:hAnsi="Book Antiqua"/>
          <w:sz w:val="20"/>
          <w:szCs w:val="20"/>
        </w:rPr>
        <w:t xml:space="preserve">with supporting documents based on {Insert Organization}’s policy </w:t>
      </w:r>
      <w:r w:rsidRPr="002B720B">
        <w:rPr>
          <w:rFonts w:ascii="Book Antiqua" w:hAnsi="Book Antiqua"/>
          <w:sz w:val="20"/>
          <w:szCs w:val="20"/>
        </w:rPr>
        <w:t>for that month.</w:t>
      </w:r>
    </w:p>
    <w:p w14:paraId="316E1E9B" w14:textId="77777777" w:rsidR="00662668" w:rsidRPr="002B720B" w:rsidRDefault="00662668" w:rsidP="004C263C">
      <w:pPr>
        <w:pStyle w:val="ListParagraph"/>
        <w:jc w:val="both"/>
        <w:rPr>
          <w:rFonts w:ascii="Book Antiqua" w:hAnsi="Book Antiqua"/>
          <w:sz w:val="20"/>
          <w:szCs w:val="20"/>
        </w:rPr>
      </w:pPr>
    </w:p>
    <w:p w14:paraId="316E1E9C" w14:textId="77777777" w:rsidR="00662668" w:rsidRPr="002B720B" w:rsidRDefault="00662668" w:rsidP="004C263C">
      <w:pPr>
        <w:pStyle w:val="ListParagraph"/>
        <w:numPr>
          <w:ilvl w:val="0"/>
          <w:numId w:val="1"/>
        </w:numPr>
        <w:jc w:val="both"/>
        <w:rPr>
          <w:rFonts w:ascii="Book Antiqua" w:hAnsi="Book Antiqua"/>
          <w:sz w:val="20"/>
          <w:szCs w:val="20"/>
        </w:rPr>
      </w:pPr>
      <w:r w:rsidRPr="002B720B">
        <w:rPr>
          <w:rFonts w:ascii="Book Antiqua" w:hAnsi="Book Antiqua"/>
          <w:sz w:val="20"/>
          <w:szCs w:val="20"/>
        </w:rPr>
        <w:t>Each week the Overpayment spreadsheet will be presented to the Finance Director</w:t>
      </w:r>
      <w:r w:rsidR="004C263C">
        <w:rPr>
          <w:rFonts w:ascii="Book Antiqua" w:hAnsi="Book Antiqua"/>
          <w:sz w:val="20"/>
          <w:szCs w:val="20"/>
        </w:rPr>
        <w:t>/Manager</w:t>
      </w:r>
      <w:r w:rsidRPr="002B720B">
        <w:rPr>
          <w:rFonts w:ascii="Book Antiqua" w:hAnsi="Book Antiqua"/>
          <w:sz w:val="20"/>
          <w:szCs w:val="20"/>
        </w:rPr>
        <w:t xml:space="preserve"> for approval.</w:t>
      </w:r>
    </w:p>
    <w:p w14:paraId="316E1E9D" w14:textId="77777777" w:rsidR="00662668" w:rsidRPr="002B720B" w:rsidRDefault="00662668" w:rsidP="004C263C">
      <w:pPr>
        <w:pStyle w:val="ListParagraph"/>
        <w:jc w:val="both"/>
        <w:rPr>
          <w:rFonts w:ascii="Book Antiqua" w:hAnsi="Book Antiqua"/>
          <w:sz w:val="20"/>
          <w:szCs w:val="20"/>
        </w:rPr>
      </w:pPr>
    </w:p>
    <w:p w14:paraId="316E1E9E" w14:textId="77777777" w:rsidR="00662668" w:rsidRPr="002B720B" w:rsidRDefault="00662668" w:rsidP="004C263C">
      <w:pPr>
        <w:pStyle w:val="ListParagraph"/>
        <w:numPr>
          <w:ilvl w:val="0"/>
          <w:numId w:val="1"/>
        </w:numPr>
        <w:jc w:val="both"/>
        <w:rPr>
          <w:rFonts w:ascii="Book Antiqua" w:hAnsi="Book Antiqua"/>
          <w:sz w:val="20"/>
          <w:szCs w:val="20"/>
        </w:rPr>
      </w:pPr>
      <w:r w:rsidRPr="002B720B">
        <w:rPr>
          <w:rFonts w:ascii="Book Antiqua" w:hAnsi="Book Antiqua"/>
          <w:sz w:val="20"/>
          <w:szCs w:val="20"/>
        </w:rPr>
        <w:t>Once approved, the Finance Director</w:t>
      </w:r>
      <w:r w:rsidR="004C263C">
        <w:rPr>
          <w:rFonts w:ascii="Book Antiqua" w:hAnsi="Book Antiqua"/>
          <w:sz w:val="20"/>
          <w:szCs w:val="20"/>
        </w:rPr>
        <w:t>/Manager</w:t>
      </w:r>
      <w:r w:rsidRPr="002B720B">
        <w:rPr>
          <w:rFonts w:ascii="Book Antiqua" w:hAnsi="Book Antiqua"/>
          <w:sz w:val="20"/>
          <w:szCs w:val="20"/>
        </w:rPr>
        <w:t xml:space="preserve"> will make the monetary transfer from the Operating acc</w:t>
      </w:r>
      <w:r w:rsidR="004C263C">
        <w:rPr>
          <w:rFonts w:ascii="Book Antiqua" w:hAnsi="Book Antiqua"/>
          <w:sz w:val="20"/>
          <w:szCs w:val="20"/>
        </w:rPr>
        <w:t xml:space="preserve">ount to the Overpayment account, unless the commercial insurance contract dictates otherwise.  In that case, the overpayment will be refunded to the Health Plan based on {Insert Organization} contractual terms. </w:t>
      </w:r>
    </w:p>
    <w:p w14:paraId="316E1E9F" w14:textId="77777777" w:rsidR="00662668" w:rsidRPr="002B720B" w:rsidRDefault="00662668" w:rsidP="004C263C">
      <w:pPr>
        <w:pStyle w:val="ListParagraph"/>
        <w:jc w:val="both"/>
        <w:rPr>
          <w:rFonts w:ascii="Book Antiqua" w:hAnsi="Book Antiqua"/>
          <w:sz w:val="20"/>
          <w:szCs w:val="20"/>
        </w:rPr>
      </w:pPr>
    </w:p>
    <w:p w14:paraId="316E1EA0" w14:textId="77777777" w:rsidR="00662668" w:rsidRPr="002B720B" w:rsidRDefault="004C263C" w:rsidP="004C263C">
      <w:pPr>
        <w:pStyle w:val="ListParagraph"/>
        <w:numPr>
          <w:ilvl w:val="0"/>
          <w:numId w:val="1"/>
        </w:numPr>
        <w:jc w:val="both"/>
        <w:rPr>
          <w:rFonts w:ascii="Book Antiqua" w:hAnsi="Book Antiqua"/>
          <w:sz w:val="20"/>
          <w:szCs w:val="20"/>
        </w:rPr>
      </w:pPr>
      <w:r>
        <w:rPr>
          <w:rFonts w:ascii="Book Antiqua" w:hAnsi="Book Antiqua"/>
          <w:sz w:val="20"/>
          <w:szCs w:val="20"/>
        </w:rPr>
        <w:t>If there are no contractual terms related to the over payment, t</w:t>
      </w:r>
      <w:r w:rsidR="00662668" w:rsidRPr="002B720B">
        <w:rPr>
          <w:rFonts w:ascii="Book Antiqua" w:hAnsi="Book Antiqua"/>
          <w:sz w:val="20"/>
          <w:szCs w:val="20"/>
        </w:rPr>
        <w:t>he Finance Director</w:t>
      </w:r>
      <w:r>
        <w:rPr>
          <w:rFonts w:ascii="Book Antiqua" w:hAnsi="Book Antiqua"/>
          <w:sz w:val="20"/>
          <w:szCs w:val="20"/>
        </w:rPr>
        <w:t>/Manager</w:t>
      </w:r>
      <w:r w:rsidR="00662668" w:rsidRPr="002B720B">
        <w:rPr>
          <w:rFonts w:ascii="Book Antiqua" w:hAnsi="Book Antiqua"/>
          <w:sz w:val="20"/>
          <w:szCs w:val="20"/>
        </w:rPr>
        <w:t xml:space="preserve"> </w:t>
      </w:r>
      <w:proofErr w:type="gramStart"/>
      <w:r w:rsidR="00662668" w:rsidRPr="002B720B">
        <w:rPr>
          <w:rFonts w:ascii="Book Antiqua" w:hAnsi="Book Antiqua"/>
          <w:sz w:val="20"/>
          <w:szCs w:val="20"/>
        </w:rPr>
        <w:t>will</w:t>
      </w:r>
      <w:proofErr w:type="gramEnd"/>
      <w:r w:rsidR="00662668" w:rsidRPr="002B720B">
        <w:rPr>
          <w:rFonts w:ascii="Book Antiqua" w:hAnsi="Book Antiqua"/>
          <w:sz w:val="20"/>
          <w:szCs w:val="20"/>
        </w:rPr>
        <w:t xml:space="preserve"> then return the approved Overpayment spreadsheet to the RC.</w:t>
      </w:r>
    </w:p>
    <w:p w14:paraId="316E1EA1" w14:textId="77777777" w:rsidR="00662668" w:rsidRPr="002B720B" w:rsidRDefault="00662668" w:rsidP="004C263C">
      <w:pPr>
        <w:pStyle w:val="ListParagraph"/>
        <w:jc w:val="both"/>
        <w:rPr>
          <w:rFonts w:ascii="Book Antiqua" w:hAnsi="Book Antiqua"/>
          <w:sz w:val="20"/>
          <w:szCs w:val="20"/>
        </w:rPr>
      </w:pPr>
    </w:p>
    <w:p w14:paraId="316E1EA2" w14:textId="77777777" w:rsidR="00662668" w:rsidRPr="002B720B" w:rsidRDefault="00B20F7B" w:rsidP="004C263C">
      <w:pPr>
        <w:pStyle w:val="ListParagraph"/>
        <w:numPr>
          <w:ilvl w:val="0"/>
          <w:numId w:val="1"/>
        </w:numPr>
        <w:jc w:val="both"/>
        <w:rPr>
          <w:rFonts w:ascii="Book Antiqua" w:hAnsi="Book Antiqua"/>
          <w:sz w:val="20"/>
          <w:szCs w:val="20"/>
        </w:rPr>
      </w:pPr>
      <w:r w:rsidRPr="002B720B">
        <w:rPr>
          <w:rFonts w:ascii="Book Antiqua" w:hAnsi="Book Antiqua"/>
          <w:sz w:val="20"/>
          <w:szCs w:val="20"/>
        </w:rPr>
        <w:t>The RC will then make the necessary adjustments to each patient account along with a note documenting the adjustment.</w:t>
      </w:r>
    </w:p>
    <w:p w14:paraId="316E1EA3" w14:textId="77777777" w:rsidR="00B20F7B" w:rsidRPr="002B720B" w:rsidRDefault="00B20F7B" w:rsidP="004C263C">
      <w:pPr>
        <w:pStyle w:val="ListParagraph"/>
        <w:jc w:val="both"/>
        <w:rPr>
          <w:rFonts w:ascii="Book Antiqua" w:hAnsi="Book Antiqua"/>
          <w:sz w:val="20"/>
          <w:szCs w:val="20"/>
        </w:rPr>
      </w:pPr>
    </w:p>
    <w:p w14:paraId="316E1EA4" w14:textId="77777777" w:rsidR="00B20F7B" w:rsidRPr="002B720B" w:rsidRDefault="00B20F7B" w:rsidP="004C263C">
      <w:pPr>
        <w:jc w:val="both"/>
        <w:rPr>
          <w:rFonts w:ascii="Book Antiqua" w:hAnsi="Book Antiqua"/>
          <w:b/>
          <w:sz w:val="20"/>
          <w:szCs w:val="20"/>
        </w:rPr>
      </w:pPr>
      <w:r w:rsidRPr="002B720B">
        <w:rPr>
          <w:rFonts w:ascii="Book Antiqua" w:hAnsi="Book Antiqua"/>
          <w:b/>
          <w:sz w:val="20"/>
          <w:szCs w:val="20"/>
        </w:rPr>
        <w:t>Recoupment Scenario</w:t>
      </w:r>
    </w:p>
    <w:p w14:paraId="316E1EA5" w14:textId="77777777" w:rsidR="00132365" w:rsidRPr="002B720B" w:rsidRDefault="00132365" w:rsidP="004C263C">
      <w:pPr>
        <w:pStyle w:val="ListParagraph"/>
        <w:numPr>
          <w:ilvl w:val="0"/>
          <w:numId w:val="2"/>
        </w:numPr>
        <w:jc w:val="both"/>
        <w:rPr>
          <w:rFonts w:ascii="Book Antiqua" w:hAnsi="Book Antiqua"/>
          <w:sz w:val="20"/>
          <w:szCs w:val="20"/>
        </w:rPr>
      </w:pPr>
      <w:r w:rsidRPr="002B720B">
        <w:rPr>
          <w:rFonts w:ascii="Book Antiqua" w:hAnsi="Book Antiqua"/>
          <w:sz w:val="20"/>
          <w:szCs w:val="20"/>
        </w:rPr>
        <w:t>When a recoupment of the overpayment occurs, the payment poster will reverse the adjustment</w:t>
      </w:r>
      <w:r w:rsidR="00B20F7B" w:rsidRPr="002B720B">
        <w:rPr>
          <w:rFonts w:ascii="Book Antiqua" w:hAnsi="Book Antiqua"/>
          <w:sz w:val="20"/>
          <w:szCs w:val="20"/>
        </w:rPr>
        <w:t>.</w:t>
      </w:r>
    </w:p>
    <w:p w14:paraId="316E1EA6" w14:textId="77777777" w:rsidR="00132365" w:rsidRPr="002B720B" w:rsidRDefault="00132365" w:rsidP="004C263C">
      <w:pPr>
        <w:pStyle w:val="ListParagraph"/>
        <w:jc w:val="both"/>
        <w:rPr>
          <w:rFonts w:ascii="Book Antiqua" w:hAnsi="Book Antiqua"/>
          <w:sz w:val="20"/>
          <w:szCs w:val="20"/>
        </w:rPr>
      </w:pPr>
    </w:p>
    <w:p w14:paraId="316E1EA7" w14:textId="77777777" w:rsidR="00B20F7B" w:rsidRDefault="00132365" w:rsidP="004C263C">
      <w:pPr>
        <w:pStyle w:val="ListParagraph"/>
        <w:numPr>
          <w:ilvl w:val="0"/>
          <w:numId w:val="2"/>
        </w:numPr>
        <w:jc w:val="both"/>
        <w:rPr>
          <w:rFonts w:ascii="Book Antiqua" w:hAnsi="Book Antiqua"/>
          <w:sz w:val="20"/>
          <w:szCs w:val="20"/>
        </w:rPr>
      </w:pPr>
      <w:r w:rsidRPr="002B720B">
        <w:rPr>
          <w:rFonts w:ascii="Book Antiqua" w:hAnsi="Book Antiqua"/>
          <w:sz w:val="20"/>
          <w:szCs w:val="20"/>
        </w:rPr>
        <w:t>The payment poster will then notify the RC that the recoupment has occurred.</w:t>
      </w:r>
    </w:p>
    <w:p w14:paraId="316E1EA8" w14:textId="77777777" w:rsidR="002B720B" w:rsidRPr="002B720B" w:rsidRDefault="002B720B" w:rsidP="004C263C">
      <w:pPr>
        <w:pStyle w:val="ListParagraph"/>
        <w:jc w:val="both"/>
        <w:rPr>
          <w:rFonts w:ascii="Book Antiqua" w:hAnsi="Book Antiqua"/>
          <w:sz w:val="20"/>
          <w:szCs w:val="20"/>
        </w:rPr>
      </w:pPr>
    </w:p>
    <w:p w14:paraId="316E1EA9" w14:textId="77777777" w:rsidR="005E1B76" w:rsidRDefault="005E1B76" w:rsidP="004C263C">
      <w:pPr>
        <w:pStyle w:val="ListParagraph"/>
        <w:numPr>
          <w:ilvl w:val="0"/>
          <w:numId w:val="2"/>
        </w:numPr>
        <w:jc w:val="both"/>
        <w:rPr>
          <w:rFonts w:ascii="Book Antiqua" w:hAnsi="Book Antiqua"/>
          <w:sz w:val="20"/>
          <w:szCs w:val="20"/>
        </w:rPr>
      </w:pPr>
      <w:r w:rsidRPr="002B720B">
        <w:rPr>
          <w:rFonts w:ascii="Book Antiqua" w:hAnsi="Book Antiqua"/>
          <w:sz w:val="20"/>
          <w:szCs w:val="20"/>
        </w:rPr>
        <w:t>The RC will notate the Overpayment spreadsheet that the recoupment has taken place.</w:t>
      </w:r>
    </w:p>
    <w:p w14:paraId="316E1EAA" w14:textId="77777777" w:rsidR="002B720B" w:rsidRPr="002B720B" w:rsidRDefault="002B720B" w:rsidP="004C263C">
      <w:pPr>
        <w:pStyle w:val="ListParagraph"/>
        <w:jc w:val="both"/>
        <w:rPr>
          <w:rFonts w:ascii="Book Antiqua" w:hAnsi="Book Antiqua"/>
          <w:sz w:val="20"/>
          <w:szCs w:val="20"/>
        </w:rPr>
      </w:pPr>
    </w:p>
    <w:p w14:paraId="316E1EAB" w14:textId="77777777" w:rsidR="005E1B76" w:rsidRDefault="005E1B76" w:rsidP="004C263C">
      <w:pPr>
        <w:pStyle w:val="ListParagraph"/>
        <w:numPr>
          <w:ilvl w:val="0"/>
          <w:numId w:val="2"/>
        </w:numPr>
        <w:jc w:val="both"/>
        <w:rPr>
          <w:rFonts w:ascii="Book Antiqua" w:hAnsi="Book Antiqua"/>
          <w:sz w:val="20"/>
          <w:szCs w:val="20"/>
        </w:rPr>
      </w:pPr>
      <w:r w:rsidRPr="002B720B">
        <w:rPr>
          <w:rFonts w:ascii="Book Antiqua" w:hAnsi="Book Antiqua"/>
          <w:sz w:val="20"/>
          <w:szCs w:val="20"/>
        </w:rPr>
        <w:t>The RC will notify the Finance Director</w:t>
      </w:r>
      <w:r w:rsidR="004C263C">
        <w:rPr>
          <w:rFonts w:ascii="Book Antiqua" w:hAnsi="Book Antiqua"/>
          <w:sz w:val="20"/>
          <w:szCs w:val="20"/>
        </w:rPr>
        <w:t>/Manager</w:t>
      </w:r>
      <w:r w:rsidRPr="002B720B">
        <w:rPr>
          <w:rFonts w:ascii="Book Antiqua" w:hAnsi="Book Antiqua"/>
          <w:sz w:val="20"/>
          <w:szCs w:val="20"/>
        </w:rPr>
        <w:t xml:space="preserve"> of the recoupment dollar amount in order that the monies can be transferred from the Overpayment account to the Operational account.</w:t>
      </w:r>
    </w:p>
    <w:p w14:paraId="316E1EAC" w14:textId="77777777" w:rsidR="002B720B" w:rsidRPr="002B720B" w:rsidRDefault="002B720B" w:rsidP="004C263C">
      <w:pPr>
        <w:pStyle w:val="ListParagraph"/>
        <w:jc w:val="both"/>
        <w:rPr>
          <w:rFonts w:ascii="Book Antiqua" w:hAnsi="Book Antiqua"/>
          <w:sz w:val="20"/>
          <w:szCs w:val="20"/>
        </w:rPr>
      </w:pPr>
    </w:p>
    <w:p w14:paraId="316E1EAD" w14:textId="77777777" w:rsidR="005E1B76" w:rsidRPr="002B720B" w:rsidRDefault="005E1B76" w:rsidP="004C263C">
      <w:pPr>
        <w:pStyle w:val="ListParagraph"/>
        <w:numPr>
          <w:ilvl w:val="0"/>
          <w:numId w:val="2"/>
        </w:numPr>
        <w:jc w:val="both"/>
        <w:rPr>
          <w:rFonts w:ascii="Book Antiqua" w:hAnsi="Book Antiqua"/>
          <w:sz w:val="20"/>
          <w:szCs w:val="20"/>
        </w:rPr>
      </w:pPr>
      <w:r w:rsidRPr="002B720B">
        <w:rPr>
          <w:rFonts w:ascii="Book Antiqua" w:hAnsi="Book Antiqua"/>
          <w:sz w:val="20"/>
          <w:szCs w:val="20"/>
        </w:rPr>
        <w:t>The Finance Director</w:t>
      </w:r>
      <w:r w:rsidR="004C263C">
        <w:rPr>
          <w:rFonts w:ascii="Book Antiqua" w:hAnsi="Book Antiqua"/>
          <w:sz w:val="20"/>
          <w:szCs w:val="20"/>
        </w:rPr>
        <w:t>/Manager</w:t>
      </w:r>
      <w:r w:rsidRPr="002B720B">
        <w:rPr>
          <w:rFonts w:ascii="Book Antiqua" w:hAnsi="Book Antiqua"/>
          <w:sz w:val="20"/>
          <w:szCs w:val="20"/>
        </w:rPr>
        <w:t xml:space="preserve"> will transfer the money.</w:t>
      </w:r>
    </w:p>
    <w:p w14:paraId="316E1EAE" w14:textId="77777777" w:rsidR="005E1B76" w:rsidRPr="002B720B" w:rsidRDefault="005E1B76" w:rsidP="004C263C">
      <w:pPr>
        <w:pStyle w:val="ListParagraph"/>
        <w:jc w:val="both"/>
        <w:rPr>
          <w:rFonts w:ascii="Book Antiqua" w:hAnsi="Book Antiqua"/>
          <w:sz w:val="20"/>
          <w:szCs w:val="20"/>
        </w:rPr>
      </w:pPr>
    </w:p>
    <w:p w14:paraId="316E1EAF" w14:textId="77777777" w:rsidR="004C263C" w:rsidRDefault="004C263C" w:rsidP="004C263C">
      <w:pPr>
        <w:jc w:val="both"/>
        <w:rPr>
          <w:rFonts w:ascii="Book Antiqua" w:hAnsi="Book Antiqua"/>
          <w:b/>
          <w:sz w:val="20"/>
          <w:szCs w:val="20"/>
        </w:rPr>
      </w:pPr>
      <w:bookmarkStart w:id="0" w:name="_GoBack"/>
      <w:bookmarkEnd w:id="0"/>
    </w:p>
    <w:p w14:paraId="316E1EB0" w14:textId="77777777" w:rsidR="004C263C" w:rsidRDefault="004C263C" w:rsidP="00D40782">
      <w:pPr>
        <w:ind w:firstLine="720"/>
        <w:jc w:val="both"/>
        <w:rPr>
          <w:rFonts w:ascii="Book Antiqua" w:hAnsi="Book Antiqua"/>
          <w:b/>
          <w:sz w:val="20"/>
          <w:szCs w:val="20"/>
        </w:rPr>
      </w:pPr>
    </w:p>
    <w:p w14:paraId="316E1EB1" w14:textId="77777777" w:rsidR="005E1B76" w:rsidRPr="002B720B" w:rsidRDefault="005E1B76" w:rsidP="004C263C">
      <w:pPr>
        <w:jc w:val="both"/>
        <w:rPr>
          <w:rFonts w:ascii="Book Antiqua" w:hAnsi="Book Antiqua"/>
          <w:b/>
          <w:sz w:val="20"/>
          <w:szCs w:val="20"/>
        </w:rPr>
      </w:pPr>
      <w:r w:rsidRPr="002B720B">
        <w:rPr>
          <w:rFonts w:ascii="Book Antiqua" w:hAnsi="Book Antiqua"/>
          <w:b/>
          <w:sz w:val="20"/>
          <w:szCs w:val="20"/>
        </w:rPr>
        <w:lastRenderedPageBreak/>
        <w:t>Refund Scenario</w:t>
      </w:r>
    </w:p>
    <w:p w14:paraId="316E1EB2" w14:textId="77777777" w:rsidR="005E1B76" w:rsidRPr="002B720B" w:rsidRDefault="005E1B76" w:rsidP="004C263C">
      <w:pPr>
        <w:pStyle w:val="ListParagraph"/>
        <w:numPr>
          <w:ilvl w:val="0"/>
          <w:numId w:val="5"/>
        </w:numPr>
        <w:jc w:val="both"/>
        <w:rPr>
          <w:rFonts w:ascii="Book Antiqua" w:hAnsi="Book Antiqua"/>
          <w:sz w:val="20"/>
          <w:szCs w:val="20"/>
        </w:rPr>
      </w:pPr>
      <w:r w:rsidRPr="002B720B">
        <w:rPr>
          <w:rFonts w:ascii="Book Antiqua" w:hAnsi="Book Antiqua"/>
          <w:sz w:val="20"/>
          <w:szCs w:val="20"/>
        </w:rPr>
        <w:t>When a refund request is received, the RC will research for accuracy</w:t>
      </w:r>
      <w:r w:rsidR="00B84F72">
        <w:rPr>
          <w:rFonts w:ascii="Book Antiqua" w:hAnsi="Book Antiqua"/>
          <w:sz w:val="20"/>
          <w:szCs w:val="20"/>
        </w:rPr>
        <w:t xml:space="preserve"> and confirm the dollar amount requested</w:t>
      </w:r>
      <w:r w:rsidRPr="002B720B">
        <w:rPr>
          <w:rFonts w:ascii="Book Antiqua" w:hAnsi="Book Antiqua"/>
          <w:sz w:val="20"/>
          <w:szCs w:val="20"/>
        </w:rPr>
        <w:t>.</w:t>
      </w:r>
    </w:p>
    <w:p w14:paraId="316E1EB3" w14:textId="77777777" w:rsidR="005E1B76" w:rsidRPr="002B720B" w:rsidRDefault="005E1B76" w:rsidP="004C263C">
      <w:pPr>
        <w:pStyle w:val="ListParagraph"/>
        <w:jc w:val="both"/>
        <w:rPr>
          <w:rFonts w:ascii="Book Antiqua" w:hAnsi="Book Antiqua"/>
          <w:sz w:val="24"/>
          <w:szCs w:val="24"/>
        </w:rPr>
      </w:pPr>
    </w:p>
    <w:p w14:paraId="316E1EB4" w14:textId="77777777" w:rsidR="005E1B76" w:rsidRPr="002B720B" w:rsidRDefault="005E1B76" w:rsidP="004C263C">
      <w:pPr>
        <w:pStyle w:val="ListParagraph"/>
        <w:numPr>
          <w:ilvl w:val="0"/>
          <w:numId w:val="5"/>
        </w:numPr>
        <w:jc w:val="both"/>
        <w:rPr>
          <w:rFonts w:ascii="Book Antiqua" w:hAnsi="Book Antiqua"/>
          <w:sz w:val="20"/>
          <w:szCs w:val="20"/>
        </w:rPr>
      </w:pPr>
      <w:r w:rsidRPr="002B720B">
        <w:rPr>
          <w:rFonts w:ascii="Book Antiqua" w:hAnsi="Book Antiqua"/>
          <w:sz w:val="20"/>
          <w:szCs w:val="20"/>
        </w:rPr>
        <w:t>If it is determined that the request is valid, the RC will complete a refund request form and submit along with the supporting documentation to the Finance Director</w:t>
      </w:r>
      <w:r w:rsidR="004C263C">
        <w:rPr>
          <w:rFonts w:ascii="Book Antiqua" w:hAnsi="Book Antiqua"/>
          <w:sz w:val="20"/>
          <w:szCs w:val="20"/>
        </w:rPr>
        <w:t>/Manager</w:t>
      </w:r>
      <w:r w:rsidRPr="002B720B">
        <w:rPr>
          <w:rFonts w:ascii="Book Antiqua" w:hAnsi="Book Antiqua"/>
          <w:sz w:val="20"/>
          <w:szCs w:val="20"/>
        </w:rPr>
        <w:t xml:space="preserve"> for approval. </w:t>
      </w:r>
    </w:p>
    <w:p w14:paraId="316E1EB5" w14:textId="77777777" w:rsidR="005E1B76" w:rsidRPr="002B720B" w:rsidRDefault="005E1B76" w:rsidP="004C263C">
      <w:pPr>
        <w:pStyle w:val="ListParagraph"/>
        <w:jc w:val="both"/>
        <w:rPr>
          <w:rFonts w:ascii="Book Antiqua" w:hAnsi="Book Antiqua"/>
          <w:sz w:val="20"/>
          <w:szCs w:val="20"/>
        </w:rPr>
      </w:pPr>
    </w:p>
    <w:p w14:paraId="316E1EB6" w14:textId="77777777" w:rsidR="005E1B76" w:rsidRPr="002B720B" w:rsidRDefault="005E1B76" w:rsidP="004C263C">
      <w:pPr>
        <w:pStyle w:val="ListParagraph"/>
        <w:numPr>
          <w:ilvl w:val="0"/>
          <w:numId w:val="5"/>
        </w:numPr>
        <w:jc w:val="both"/>
        <w:rPr>
          <w:rFonts w:ascii="Book Antiqua" w:hAnsi="Book Antiqua"/>
          <w:sz w:val="20"/>
          <w:szCs w:val="20"/>
        </w:rPr>
      </w:pPr>
      <w:r w:rsidRPr="002B720B">
        <w:rPr>
          <w:rFonts w:ascii="Book Antiqua" w:hAnsi="Book Antiqua"/>
          <w:sz w:val="20"/>
          <w:szCs w:val="20"/>
        </w:rPr>
        <w:t>Once approved, the Finance Director</w:t>
      </w:r>
      <w:r w:rsidR="004C263C">
        <w:rPr>
          <w:rFonts w:ascii="Book Antiqua" w:hAnsi="Book Antiqua"/>
          <w:sz w:val="20"/>
          <w:szCs w:val="20"/>
        </w:rPr>
        <w:t>/Manager</w:t>
      </w:r>
      <w:r w:rsidRPr="002B720B">
        <w:rPr>
          <w:rFonts w:ascii="Book Antiqua" w:hAnsi="Book Antiqua"/>
          <w:sz w:val="20"/>
          <w:szCs w:val="20"/>
        </w:rPr>
        <w:t xml:space="preserve"> will print the refund check from the Overpayment account</w:t>
      </w:r>
      <w:r w:rsidR="004C263C">
        <w:rPr>
          <w:rFonts w:ascii="Book Antiqua" w:hAnsi="Book Antiqua"/>
          <w:sz w:val="20"/>
          <w:szCs w:val="20"/>
        </w:rPr>
        <w:t xml:space="preserve"> within 10 business days</w:t>
      </w:r>
      <w:r w:rsidRPr="002B720B">
        <w:rPr>
          <w:rFonts w:ascii="Book Antiqua" w:hAnsi="Book Antiqua"/>
          <w:sz w:val="20"/>
          <w:szCs w:val="20"/>
        </w:rPr>
        <w:t>.</w:t>
      </w:r>
    </w:p>
    <w:p w14:paraId="316E1EB7" w14:textId="77777777" w:rsidR="005E1B76" w:rsidRPr="002B720B" w:rsidRDefault="005E1B76" w:rsidP="004C263C">
      <w:pPr>
        <w:pStyle w:val="ListParagraph"/>
        <w:jc w:val="both"/>
        <w:rPr>
          <w:rFonts w:ascii="Book Antiqua" w:hAnsi="Book Antiqua"/>
          <w:sz w:val="20"/>
          <w:szCs w:val="20"/>
        </w:rPr>
      </w:pPr>
    </w:p>
    <w:p w14:paraId="316E1EB8" w14:textId="77777777" w:rsidR="00043088" w:rsidRPr="002B720B" w:rsidRDefault="00043088" w:rsidP="004C263C">
      <w:pPr>
        <w:pStyle w:val="ListParagraph"/>
        <w:numPr>
          <w:ilvl w:val="0"/>
          <w:numId w:val="5"/>
        </w:numPr>
        <w:jc w:val="both"/>
        <w:rPr>
          <w:rFonts w:ascii="Book Antiqua" w:hAnsi="Book Antiqua"/>
          <w:sz w:val="20"/>
          <w:szCs w:val="20"/>
        </w:rPr>
      </w:pPr>
      <w:r w:rsidRPr="002B720B">
        <w:rPr>
          <w:rFonts w:ascii="Book Antiqua" w:hAnsi="Book Antiqua"/>
          <w:sz w:val="20"/>
          <w:szCs w:val="20"/>
        </w:rPr>
        <w:t>The Finance Director</w:t>
      </w:r>
      <w:r w:rsidR="004C263C">
        <w:rPr>
          <w:rFonts w:ascii="Book Antiqua" w:hAnsi="Book Antiqua"/>
          <w:sz w:val="20"/>
          <w:szCs w:val="20"/>
        </w:rPr>
        <w:t>/Manager</w:t>
      </w:r>
      <w:r w:rsidRPr="002B720B">
        <w:rPr>
          <w:rFonts w:ascii="Book Antiqua" w:hAnsi="Book Antiqua"/>
          <w:sz w:val="20"/>
          <w:szCs w:val="20"/>
        </w:rPr>
        <w:t xml:space="preserve"> will forward the refund check and supporting documentation to the RC for posting to the patient account.</w:t>
      </w:r>
    </w:p>
    <w:p w14:paraId="316E1EB9" w14:textId="77777777" w:rsidR="00043088" w:rsidRPr="002B720B" w:rsidRDefault="00043088" w:rsidP="004C263C">
      <w:pPr>
        <w:pStyle w:val="ListParagraph"/>
        <w:jc w:val="both"/>
        <w:rPr>
          <w:rFonts w:ascii="Book Antiqua" w:hAnsi="Book Antiqua"/>
          <w:sz w:val="20"/>
          <w:szCs w:val="20"/>
        </w:rPr>
      </w:pPr>
    </w:p>
    <w:p w14:paraId="316E1EBA" w14:textId="77777777" w:rsidR="00043088" w:rsidRPr="002B720B" w:rsidRDefault="00043088" w:rsidP="004C263C">
      <w:pPr>
        <w:pStyle w:val="ListParagraph"/>
        <w:numPr>
          <w:ilvl w:val="0"/>
          <w:numId w:val="5"/>
        </w:numPr>
        <w:jc w:val="both"/>
        <w:rPr>
          <w:rFonts w:ascii="Book Antiqua" w:hAnsi="Book Antiqua"/>
          <w:sz w:val="20"/>
          <w:szCs w:val="20"/>
        </w:rPr>
      </w:pPr>
      <w:r w:rsidRPr="002B720B">
        <w:rPr>
          <w:rFonts w:ascii="Book Antiqua" w:hAnsi="Book Antiqua"/>
          <w:sz w:val="20"/>
          <w:szCs w:val="20"/>
        </w:rPr>
        <w:t>Once posted, the RC will mail the refund check and supporting documentation to the carrier.</w:t>
      </w:r>
    </w:p>
    <w:p w14:paraId="316E1EBB" w14:textId="77777777" w:rsidR="00043088" w:rsidRPr="002B720B" w:rsidRDefault="00043088" w:rsidP="004C263C">
      <w:pPr>
        <w:pStyle w:val="ListParagraph"/>
        <w:jc w:val="both"/>
        <w:rPr>
          <w:rFonts w:ascii="Book Antiqua" w:hAnsi="Book Antiqua"/>
          <w:sz w:val="20"/>
          <w:szCs w:val="20"/>
        </w:rPr>
      </w:pPr>
    </w:p>
    <w:p w14:paraId="316E1EBC" w14:textId="77777777" w:rsidR="00043088" w:rsidRPr="002B720B" w:rsidRDefault="00043088" w:rsidP="004C263C">
      <w:pPr>
        <w:pStyle w:val="ListParagraph"/>
        <w:numPr>
          <w:ilvl w:val="0"/>
          <w:numId w:val="5"/>
        </w:numPr>
        <w:jc w:val="both"/>
        <w:rPr>
          <w:rFonts w:ascii="Book Antiqua" w:hAnsi="Book Antiqua"/>
          <w:sz w:val="20"/>
          <w:szCs w:val="20"/>
        </w:rPr>
      </w:pPr>
      <w:r w:rsidRPr="002B720B">
        <w:rPr>
          <w:rFonts w:ascii="Book Antiqua" w:hAnsi="Book Antiqua"/>
          <w:sz w:val="20"/>
          <w:szCs w:val="20"/>
        </w:rPr>
        <w:t>This process shall be completed within 30 days of the original request.</w:t>
      </w:r>
    </w:p>
    <w:p w14:paraId="316E1EBD" w14:textId="77777777" w:rsidR="00D70723" w:rsidRPr="002B720B" w:rsidRDefault="00D70723" w:rsidP="004C263C">
      <w:pPr>
        <w:jc w:val="both"/>
        <w:rPr>
          <w:rFonts w:ascii="Book Antiqua" w:hAnsi="Book Antiqua"/>
          <w:b/>
          <w:sz w:val="20"/>
          <w:szCs w:val="20"/>
        </w:rPr>
      </w:pPr>
      <w:r w:rsidRPr="002B720B">
        <w:rPr>
          <w:rFonts w:ascii="Book Antiqua" w:hAnsi="Book Antiqua"/>
          <w:b/>
          <w:sz w:val="20"/>
          <w:szCs w:val="20"/>
        </w:rPr>
        <w:t>Monies Left Unrequested</w:t>
      </w:r>
    </w:p>
    <w:p w14:paraId="316E1EBE" w14:textId="77777777" w:rsidR="00D70723" w:rsidRPr="002B720B" w:rsidRDefault="00D70723" w:rsidP="004C263C">
      <w:pPr>
        <w:pStyle w:val="ListParagraph"/>
        <w:numPr>
          <w:ilvl w:val="0"/>
          <w:numId w:val="6"/>
        </w:numPr>
        <w:jc w:val="both"/>
        <w:rPr>
          <w:rFonts w:ascii="Book Antiqua" w:hAnsi="Book Antiqua"/>
          <w:sz w:val="20"/>
          <w:szCs w:val="20"/>
        </w:rPr>
      </w:pPr>
      <w:r w:rsidRPr="002B720B">
        <w:rPr>
          <w:rFonts w:ascii="Book Antiqua" w:hAnsi="Book Antiqua"/>
          <w:sz w:val="20"/>
          <w:szCs w:val="20"/>
        </w:rPr>
        <w:t>Each February the spreadsheet for the previous year (i.e. February 20</w:t>
      </w:r>
      <w:r w:rsidR="004C263C">
        <w:rPr>
          <w:rFonts w:ascii="Book Antiqua" w:hAnsi="Book Antiqua"/>
          <w:sz w:val="20"/>
          <w:szCs w:val="20"/>
        </w:rPr>
        <w:t>15</w:t>
      </w:r>
      <w:r w:rsidRPr="002B720B">
        <w:rPr>
          <w:rFonts w:ascii="Book Antiqua" w:hAnsi="Book Antiqua"/>
          <w:sz w:val="20"/>
          <w:szCs w:val="20"/>
        </w:rPr>
        <w:t>, January 20</w:t>
      </w:r>
      <w:r w:rsidR="004C263C">
        <w:rPr>
          <w:rFonts w:ascii="Book Antiqua" w:hAnsi="Book Antiqua"/>
          <w:sz w:val="20"/>
          <w:szCs w:val="20"/>
        </w:rPr>
        <w:t>14</w:t>
      </w:r>
      <w:r w:rsidRPr="002B720B">
        <w:rPr>
          <w:rFonts w:ascii="Book Antiqua" w:hAnsi="Book Antiqua"/>
          <w:sz w:val="20"/>
          <w:szCs w:val="20"/>
        </w:rPr>
        <w:t>) will be forwarded to the Finance Director</w:t>
      </w:r>
      <w:r w:rsidR="004C263C">
        <w:rPr>
          <w:rFonts w:ascii="Book Antiqua" w:hAnsi="Book Antiqua"/>
          <w:sz w:val="20"/>
          <w:szCs w:val="20"/>
        </w:rPr>
        <w:t>/Manager</w:t>
      </w:r>
      <w:r w:rsidRPr="002B720B">
        <w:rPr>
          <w:rFonts w:ascii="Book Antiqua" w:hAnsi="Book Antiqua"/>
          <w:sz w:val="20"/>
          <w:szCs w:val="20"/>
        </w:rPr>
        <w:t xml:space="preserve"> in order that all unrequested monies for that period of time are transferred from the Overpayment account into the Operations account.</w:t>
      </w:r>
    </w:p>
    <w:p w14:paraId="316E1EBF" w14:textId="77777777" w:rsidR="00D70723" w:rsidRPr="002B720B" w:rsidRDefault="00D70723" w:rsidP="004C263C">
      <w:pPr>
        <w:pStyle w:val="ListParagraph"/>
        <w:jc w:val="both"/>
        <w:rPr>
          <w:rFonts w:ascii="Book Antiqua" w:hAnsi="Book Antiqua"/>
          <w:sz w:val="20"/>
          <w:szCs w:val="20"/>
        </w:rPr>
      </w:pPr>
    </w:p>
    <w:p w14:paraId="316E1EC0" w14:textId="77777777" w:rsidR="00D70723" w:rsidRDefault="00D70723" w:rsidP="004C263C">
      <w:pPr>
        <w:pStyle w:val="ListParagraph"/>
        <w:numPr>
          <w:ilvl w:val="0"/>
          <w:numId w:val="6"/>
        </w:numPr>
        <w:jc w:val="both"/>
        <w:rPr>
          <w:rFonts w:ascii="Book Antiqua" w:hAnsi="Book Antiqua"/>
          <w:sz w:val="20"/>
          <w:szCs w:val="20"/>
        </w:rPr>
      </w:pPr>
      <w:r w:rsidRPr="002B720B">
        <w:rPr>
          <w:rFonts w:ascii="Book Antiqua" w:hAnsi="Book Antiqua"/>
          <w:sz w:val="20"/>
          <w:szCs w:val="20"/>
        </w:rPr>
        <w:t xml:space="preserve">The process shall be completed </w:t>
      </w:r>
      <w:r w:rsidR="004C263C">
        <w:rPr>
          <w:rFonts w:ascii="Book Antiqua" w:hAnsi="Book Antiqua"/>
          <w:sz w:val="20"/>
          <w:szCs w:val="20"/>
        </w:rPr>
        <w:t>quarterly</w:t>
      </w:r>
      <w:r w:rsidRPr="002B720B">
        <w:rPr>
          <w:rFonts w:ascii="Book Antiqua" w:hAnsi="Book Antiqua"/>
          <w:sz w:val="20"/>
          <w:szCs w:val="20"/>
        </w:rPr>
        <w:t>.</w:t>
      </w:r>
    </w:p>
    <w:p w14:paraId="316E1EC1" w14:textId="77777777" w:rsidR="008642E1" w:rsidRPr="008642E1" w:rsidRDefault="008642E1" w:rsidP="004C263C">
      <w:pPr>
        <w:pStyle w:val="ListParagraph"/>
        <w:jc w:val="both"/>
        <w:rPr>
          <w:rFonts w:ascii="Book Antiqua" w:hAnsi="Book Antiqua"/>
          <w:sz w:val="20"/>
          <w:szCs w:val="20"/>
        </w:rPr>
      </w:pPr>
    </w:p>
    <w:tbl>
      <w:tblPr>
        <w:tblW w:w="8940" w:type="dxa"/>
        <w:tblInd w:w="93" w:type="dxa"/>
        <w:tblLook w:val="0000" w:firstRow="0" w:lastRow="0" w:firstColumn="0" w:lastColumn="0" w:noHBand="0" w:noVBand="0"/>
      </w:tblPr>
      <w:tblGrid>
        <w:gridCol w:w="3228"/>
        <w:gridCol w:w="3933"/>
        <w:gridCol w:w="1779"/>
      </w:tblGrid>
      <w:tr w:rsidR="008642E1" w:rsidRPr="004C263C" w14:paraId="316E1EC6" w14:textId="77777777" w:rsidTr="000D00AE">
        <w:trPr>
          <w:trHeight w:val="308"/>
        </w:trPr>
        <w:tc>
          <w:tcPr>
            <w:tcW w:w="3228" w:type="dxa"/>
            <w:vMerge w:val="restart"/>
            <w:tcBorders>
              <w:top w:val="single" w:sz="8" w:space="0" w:color="auto"/>
              <w:left w:val="single" w:sz="8" w:space="0" w:color="auto"/>
              <w:right w:val="single" w:sz="8" w:space="0" w:color="000000"/>
            </w:tcBorders>
            <w:shd w:val="clear" w:color="auto" w:fill="auto"/>
            <w:noWrap/>
            <w:vAlign w:val="bottom"/>
          </w:tcPr>
          <w:p w14:paraId="316E1EC2" w14:textId="77777777" w:rsidR="008642E1" w:rsidRPr="004C263C" w:rsidRDefault="008642E1" w:rsidP="004C263C">
            <w:pPr>
              <w:spacing w:line="240" w:lineRule="auto"/>
              <w:jc w:val="both"/>
              <w:rPr>
                <w:rFonts w:ascii="Book Antiqua" w:hAnsi="Book Antiqua" w:cs="Arial"/>
                <w:bCs/>
                <w:sz w:val="18"/>
                <w:szCs w:val="18"/>
              </w:rPr>
            </w:pPr>
            <w:r w:rsidRPr="004C263C">
              <w:rPr>
                <w:rFonts w:ascii="Book Antiqua" w:hAnsi="Book Antiqua" w:cs="Arial"/>
                <w:bCs/>
                <w:sz w:val="18"/>
                <w:szCs w:val="18"/>
              </w:rPr>
              <w:t>{Insert Organization}</w:t>
            </w:r>
          </w:p>
          <w:p w14:paraId="316E1EC3" w14:textId="77777777" w:rsidR="008642E1" w:rsidRPr="004C263C" w:rsidRDefault="008642E1" w:rsidP="004C263C">
            <w:pPr>
              <w:jc w:val="both"/>
              <w:rPr>
                <w:rFonts w:ascii="Book Antiqua" w:hAnsi="Book Antiqua" w:cs="Arial"/>
                <w:bCs/>
                <w:sz w:val="18"/>
                <w:szCs w:val="18"/>
              </w:rPr>
            </w:pPr>
          </w:p>
        </w:tc>
        <w:tc>
          <w:tcPr>
            <w:tcW w:w="3933" w:type="dxa"/>
            <w:tcBorders>
              <w:top w:val="single" w:sz="8" w:space="0" w:color="auto"/>
              <w:left w:val="single" w:sz="8" w:space="0" w:color="000000"/>
              <w:bottom w:val="nil"/>
              <w:right w:val="single" w:sz="4" w:space="0" w:color="auto"/>
            </w:tcBorders>
            <w:shd w:val="clear" w:color="auto" w:fill="auto"/>
            <w:noWrap/>
            <w:vAlign w:val="bottom"/>
          </w:tcPr>
          <w:p w14:paraId="316E1EC4" w14:textId="77777777" w:rsidR="008642E1" w:rsidRPr="004C263C" w:rsidRDefault="008642E1" w:rsidP="004C263C">
            <w:pPr>
              <w:spacing w:line="240" w:lineRule="auto"/>
              <w:jc w:val="both"/>
              <w:rPr>
                <w:rFonts w:ascii="Book Antiqua" w:hAnsi="Book Antiqua" w:cs="Arial"/>
                <w:b/>
                <w:bCs/>
                <w:sz w:val="18"/>
                <w:szCs w:val="18"/>
                <w:u w:val="single"/>
              </w:rPr>
            </w:pPr>
            <w:r w:rsidRPr="004C263C">
              <w:rPr>
                <w:rFonts w:ascii="Book Antiqua" w:hAnsi="Book Antiqua" w:cs="Arial"/>
                <w:b/>
                <w:bCs/>
                <w:sz w:val="18"/>
                <w:szCs w:val="18"/>
                <w:u w:val="single"/>
              </w:rPr>
              <w:t>Policy and Procedure Manual</w:t>
            </w:r>
          </w:p>
        </w:tc>
        <w:tc>
          <w:tcPr>
            <w:tcW w:w="1779" w:type="dxa"/>
            <w:vMerge w:val="restart"/>
            <w:tcBorders>
              <w:top w:val="single" w:sz="4" w:space="0" w:color="auto"/>
              <w:left w:val="single" w:sz="4" w:space="0" w:color="auto"/>
              <w:right w:val="single" w:sz="4" w:space="0" w:color="auto"/>
            </w:tcBorders>
            <w:shd w:val="clear" w:color="auto" w:fill="auto"/>
          </w:tcPr>
          <w:p w14:paraId="316E1EC5" w14:textId="77777777" w:rsidR="008642E1" w:rsidRPr="004C263C" w:rsidRDefault="008642E1" w:rsidP="004C263C">
            <w:pPr>
              <w:jc w:val="both"/>
              <w:rPr>
                <w:rFonts w:ascii="Book Antiqua" w:hAnsi="Book Antiqua" w:cs="Arial"/>
                <w:b/>
                <w:bCs/>
                <w:sz w:val="18"/>
                <w:szCs w:val="18"/>
                <w:u w:val="single"/>
              </w:rPr>
            </w:pPr>
            <w:r w:rsidRPr="004C263C">
              <w:rPr>
                <w:rFonts w:ascii="Book Antiqua" w:hAnsi="Book Antiqua" w:cs="Arial"/>
                <w:b/>
                <w:bCs/>
                <w:sz w:val="18"/>
                <w:szCs w:val="18"/>
              </w:rPr>
              <w:t xml:space="preserve">                          Revised Date:</w:t>
            </w:r>
          </w:p>
        </w:tc>
      </w:tr>
      <w:tr w:rsidR="008642E1" w:rsidRPr="004C263C" w14:paraId="316E1ECA" w14:textId="77777777" w:rsidTr="000D00AE">
        <w:trPr>
          <w:trHeight w:val="308"/>
        </w:trPr>
        <w:tc>
          <w:tcPr>
            <w:tcW w:w="3228" w:type="dxa"/>
            <w:vMerge/>
            <w:tcBorders>
              <w:left w:val="single" w:sz="8" w:space="0" w:color="auto"/>
              <w:bottom w:val="single" w:sz="8" w:space="0" w:color="auto"/>
              <w:right w:val="single" w:sz="8" w:space="0" w:color="000000"/>
            </w:tcBorders>
            <w:shd w:val="clear" w:color="auto" w:fill="auto"/>
            <w:noWrap/>
            <w:vAlign w:val="bottom"/>
          </w:tcPr>
          <w:p w14:paraId="316E1EC7" w14:textId="77777777" w:rsidR="008642E1" w:rsidRPr="004C263C" w:rsidRDefault="008642E1" w:rsidP="004C263C">
            <w:pPr>
              <w:spacing w:line="240" w:lineRule="auto"/>
              <w:jc w:val="both"/>
              <w:rPr>
                <w:rFonts w:ascii="Book Antiqua" w:hAnsi="Book Antiqua" w:cs="Arial"/>
                <w:bCs/>
                <w:sz w:val="18"/>
                <w:szCs w:val="18"/>
              </w:rPr>
            </w:pPr>
          </w:p>
        </w:tc>
        <w:tc>
          <w:tcPr>
            <w:tcW w:w="3933" w:type="dxa"/>
            <w:tcBorders>
              <w:top w:val="nil"/>
              <w:left w:val="nil"/>
              <w:bottom w:val="nil"/>
              <w:right w:val="single" w:sz="4" w:space="0" w:color="auto"/>
            </w:tcBorders>
            <w:shd w:val="clear" w:color="auto" w:fill="auto"/>
            <w:noWrap/>
            <w:vAlign w:val="bottom"/>
          </w:tcPr>
          <w:p w14:paraId="316E1EC8" w14:textId="77777777" w:rsidR="008642E1" w:rsidRPr="004C263C" w:rsidRDefault="008642E1" w:rsidP="004C263C">
            <w:pPr>
              <w:spacing w:line="240" w:lineRule="auto"/>
              <w:jc w:val="both"/>
              <w:rPr>
                <w:rFonts w:ascii="Book Antiqua" w:hAnsi="Book Antiqua" w:cs="Arial"/>
                <w:b/>
                <w:bCs/>
                <w:sz w:val="18"/>
                <w:szCs w:val="18"/>
                <w:u w:val="single"/>
              </w:rPr>
            </w:pPr>
            <w:r w:rsidRPr="004C263C">
              <w:rPr>
                <w:rFonts w:ascii="Book Antiqua" w:hAnsi="Book Antiqua" w:cs="Arial"/>
                <w:b/>
                <w:bCs/>
                <w:sz w:val="18"/>
                <w:szCs w:val="18"/>
                <w:u w:val="single"/>
              </w:rPr>
              <w:t>Original Date:</w:t>
            </w:r>
          </w:p>
        </w:tc>
        <w:tc>
          <w:tcPr>
            <w:tcW w:w="1779" w:type="dxa"/>
            <w:vMerge/>
            <w:tcBorders>
              <w:left w:val="single" w:sz="4" w:space="0" w:color="auto"/>
              <w:bottom w:val="single" w:sz="4" w:space="0" w:color="auto"/>
              <w:right w:val="single" w:sz="4" w:space="0" w:color="auto"/>
            </w:tcBorders>
            <w:shd w:val="clear" w:color="auto" w:fill="auto"/>
            <w:noWrap/>
            <w:vAlign w:val="bottom"/>
          </w:tcPr>
          <w:p w14:paraId="316E1EC9" w14:textId="77777777" w:rsidR="008642E1" w:rsidRPr="004C263C" w:rsidRDefault="008642E1" w:rsidP="004C263C">
            <w:pPr>
              <w:spacing w:line="240" w:lineRule="auto"/>
              <w:jc w:val="both"/>
              <w:rPr>
                <w:rFonts w:ascii="Book Antiqua" w:hAnsi="Book Antiqua" w:cs="Arial"/>
                <w:b/>
                <w:bCs/>
                <w:sz w:val="18"/>
                <w:szCs w:val="18"/>
              </w:rPr>
            </w:pPr>
          </w:p>
        </w:tc>
      </w:tr>
      <w:tr w:rsidR="008642E1" w:rsidRPr="004C263C" w14:paraId="316E1ECF" w14:textId="77777777" w:rsidTr="000D00AE">
        <w:trPr>
          <w:trHeight w:val="308"/>
        </w:trPr>
        <w:tc>
          <w:tcPr>
            <w:tcW w:w="3228" w:type="dxa"/>
            <w:vMerge w:val="restart"/>
            <w:tcBorders>
              <w:top w:val="single" w:sz="8" w:space="0" w:color="auto"/>
              <w:left w:val="single" w:sz="8" w:space="0" w:color="auto"/>
              <w:bottom w:val="single" w:sz="4" w:space="0" w:color="auto"/>
              <w:right w:val="single" w:sz="8" w:space="0" w:color="000000"/>
            </w:tcBorders>
            <w:shd w:val="clear" w:color="auto" w:fill="auto"/>
            <w:noWrap/>
          </w:tcPr>
          <w:p w14:paraId="316E1ECB" w14:textId="77777777" w:rsidR="008642E1" w:rsidRPr="004C263C" w:rsidRDefault="008642E1" w:rsidP="004C263C">
            <w:pPr>
              <w:spacing w:line="240" w:lineRule="auto"/>
              <w:jc w:val="both"/>
              <w:rPr>
                <w:rFonts w:ascii="Book Antiqua" w:hAnsi="Book Antiqua" w:cs="Arial"/>
                <w:b/>
                <w:bCs/>
                <w:sz w:val="18"/>
                <w:szCs w:val="18"/>
                <w:u w:val="single"/>
              </w:rPr>
            </w:pPr>
            <w:r w:rsidRPr="004C263C">
              <w:rPr>
                <w:rFonts w:ascii="Book Antiqua" w:hAnsi="Book Antiqua" w:cs="Arial"/>
                <w:b/>
                <w:bCs/>
                <w:sz w:val="18"/>
                <w:szCs w:val="18"/>
                <w:u w:val="single"/>
              </w:rPr>
              <w:t>Policy Number:</w:t>
            </w:r>
          </w:p>
        </w:tc>
        <w:tc>
          <w:tcPr>
            <w:tcW w:w="3933" w:type="dxa"/>
            <w:tcBorders>
              <w:top w:val="nil"/>
              <w:left w:val="nil"/>
              <w:bottom w:val="nil"/>
              <w:right w:val="single" w:sz="8" w:space="0" w:color="000000"/>
            </w:tcBorders>
            <w:shd w:val="clear" w:color="auto" w:fill="auto"/>
            <w:noWrap/>
            <w:vAlign w:val="bottom"/>
          </w:tcPr>
          <w:p w14:paraId="316E1ECC" w14:textId="77777777" w:rsidR="008642E1" w:rsidRPr="004C263C" w:rsidRDefault="008642E1" w:rsidP="004C263C">
            <w:pPr>
              <w:spacing w:line="240" w:lineRule="auto"/>
              <w:jc w:val="both"/>
              <w:rPr>
                <w:rFonts w:ascii="Book Antiqua" w:hAnsi="Book Antiqua" w:cs="Arial"/>
                <w:b/>
                <w:bCs/>
                <w:sz w:val="18"/>
                <w:szCs w:val="18"/>
                <w:u w:val="single"/>
              </w:rPr>
            </w:pPr>
            <w:r w:rsidRPr="004C263C">
              <w:rPr>
                <w:rFonts w:ascii="Book Antiqua" w:hAnsi="Book Antiqua" w:cs="Arial"/>
                <w:b/>
                <w:bCs/>
                <w:sz w:val="18"/>
                <w:szCs w:val="18"/>
                <w:u w:val="single"/>
              </w:rPr>
              <w:t>Subject:</w:t>
            </w:r>
          </w:p>
        </w:tc>
        <w:tc>
          <w:tcPr>
            <w:tcW w:w="1779" w:type="dxa"/>
            <w:vMerge w:val="restart"/>
            <w:tcBorders>
              <w:top w:val="single" w:sz="4" w:space="0" w:color="auto"/>
              <w:left w:val="nil"/>
              <w:right w:val="single" w:sz="8" w:space="0" w:color="auto"/>
            </w:tcBorders>
            <w:shd w:val="clear" w:color="auto" w:fill="auto"/>
            <w:noWrap/>
            <w:vAlign w:val="bottom"/>
          </w:tcPr>
          <w:p w14:paraId="316E1ECD" w14:textId="77777777" w:rsidR="008642E1" w:rsidRPr="004C263C" w:rsidRDefault="008642E1" w:rsidP="004C263C">
            <w:pPr>
              <w:spacing w:line="240" w:lineRule="auto"/>
              <w:jc w:val="both"/>
              <w:rPr>
                <w:rFonts w:ascii="Book Antiqua" w:hAnsi="Book Antiqua" w:cs="Arial"/>
                <w:b/>
                <w:bCs/>
                <w:sz w:val="18"/>
                <w:szCs w:val="18"/>
              </w:rPr>
            </w:pPr>
            <w:r w:rsidRPr="004C263C">
              <w:rPr>
                <w:rFonts w:ascii="Book Antiqua" w:hAnsi="Book Antiqua" w:cs="Arial"/>
                <w:b/>
                <w:bCs/>
                <w:sz w:val="18"/>
                <w:szCs w:val="18"/>
              </w:rPr>
              <w:t>Approved By:</w:t>
            </w:r>
          </w:p>
          <w:p w14:paraId="316E1ECE" w14:textId="77777777" w:rsidR="008642E1" w:rsidRPr="004C263C" w:rsidRDefault="008642E1" w:rsidP="004C263C">
            <w:pPr>
              <w:spacing w:line="240" w:lineRule="auto"/>
              <w:jc w:val="both"/>
              <w:rPr>
                <w:rFonts w:ascii="Book Antiqua" w:hAnsi="Book Antiqua" w:cs="Arial"/>
                <w:b/>
                <w:bCs/>
                <w:sz w:val="18"/>
                <w:szCs w:val="18"/>
              </w:rPr>
            </w:pPr>
            <w:r w:rsidRPr="004C263C">
              <w:rPr>
                <w:rFonts w:ascii="Book Antiqua" w:hAnsi="Book Antiqua" w:cs="Arial"/>
                <w:b/>
                <w:bCs/>
                <w:sz w:val="18"/>
                <w:szCs w:val="18"/>
              </w:rPr>
              <w:t> </w:t>
            </w:r>
          </w:p>
        </w:tc>
      </w:tr>
      <w:tr w:rsidR="008642E1" w:rsidRPr="004C263C" w14:paraId="316E1ED3" w14:textId="77777777" w:rsidTr="000D00AE">
        <w:trPr>
          <w:trHeight w:val="655"/>
        </w:trPr>
        <w:tc>
          <w:tcPr>
            <w:tcW w:w="3228" w:type="dxa"/>
            <w:vMerge/>
            <w:tcBorders>
              <w:top w:val="single" w:sz="8" w:space="0" w:color="auto"/>
              <w:left w:val="single" w:sz="8" w:space="0" w:color="auto"/>
              <w:bottom w:val="single" w:sz="4" w:space="0" w:color="auto"/>
              <w:right w:val="single" w:sz="8" w:space="0" w:color="000000"/>
            </w:tcBorders>
            <w:vAlign w:val="center"/>
          </w:tcPr>
          <w:p w14:paraId="316E1ED0" w14:textId="77777777" w:rsidR="008642E1" w:rsidRPr="004C263C" w:rsidRDefault="008642E1" w:rsidP="004C263C">
            <w:pPr>
              <w:spacing w:line="240" w:lineRule="auto"/>
              <w:jc w:val="both"/>
              <w:rPr>
                <w:rFonts w:ascii="Book Antiqua" w:hAnsi="Book Antiqua" w:cs="Arial"/>
                <w:b/>
                <w:bCs/>
                <w:sz w:val="18"/>
                <w:szCs w:val="18"/>
              </w:rPr>
            </w:pPr>
          </w:p>
        </w:tc>
        <w:tc>
          <w:tcPr>
            <w:tcW w:w="3933" w:type="dxa"/>
            <w:tcBorders>
              <w:top w:val="nil"/>
              <w:left w:val="nil"/>
              <w:bottom w:val="single" w:sz="8" w:space="0" w:color="000000"/>
              <w:right w:val="single" w:sz="8" w:space="0" w:color="000000"/>
            </w:tcBorders>
            <w:shd w:val="clear" w:color="auto" w:fill="auto"/>
            <w:noWrap/>
          </w:tcPr>
          <w:p w14:paraId="316E1ED1" w14:textId="77777777" w:rsidR="008642E1" w:rsidRPr="004C263C" w:rsidRDefault="008642E1" w:rsidP="004C263C">
            <w:pPr>
              <w:spacing w:line="240" w:lineRule="auto"/>
              <w:jc w:val="both"/>
              <w:rPr>
                <w:rFonts w:ascii="Book Antiqua" w:hAnsi="Book Antiqua" w:cs="Arial"/>
                <w:b/>
                <w:bCs/>
                <w:sz w:val="18"/>
                <w:szCs w:val="18"/>
              </w:rPr>
            </w:pPr>
            <w:r w:rsidRPr="004C263C">
              <w:rPr>
                <w:rFonts w:ascii="Book Antiqua" w:hAnsi="Book Antiqua" w:cs="Arial"/>
                <w:b/>
                <w:bCs/>
                <w:sz w:val="18"/>
                <w:szCs w:val="18"/>
              </w:rPr>
              <w:t>Over Payment Policy-Commercial Insurance Carrier</w:t>
            </w:r>
          </w:p>
        </w:tc>
        <w:tc>
          <w:tcPr>
            <w:tcW w:w="1779" w:type="dxa"/>
            <w:vMerge/>
            <w:tcBorders>
              <w:left w:val="nil"/>
              <w:bottom w:val="single" w:sz="8" w:space="0" w:color="auto"/>
              <w:right w:val="single" w:sz="8" w:space="0" w:color="auto"/>
            </w:tcBorders>
            <w:shd w:val="clear" w:color="auto" w:fill="auto"/>
            <w:noWrap/>
            <w:vAlign w:val="bottom"/>
          </w:tcPr>
          <w:p w14:paraId="316E1ED2" w14:textId="77777777" w:rsidR="008642E1" w:rsidRPr="004C263C" w:rsidRDefault="008642E1" w:rsidP="004C263C">
            <w:pPr>
              <w:spacing w:line="240" w:lineRule="auto"/>
              <w:jc w:val="both"/>
              <w:rPr>
                <w:rFonts w:ascii="Book Antiqua" w:hAnsi="Book Antiqua" w:cs="Arial"/>
                <w:b/>
                <w:bCs/>
                <w:sz w:val="18"/>
                <w:szCs w:val="18"/>
              </w:rPr>
            </w:pPr>
          </w:p>
        </w:tc>
      </w:tr>
    </w:tbl>
    <w:p w14:paraId="316E1ED4" w14:textId="77777777" w:rsidR="008642E1" w:rsidRPr="008642E1" w:rsidRDefault="008642E1" w:rsidP="004D7206">
      <w:pPr>
        <w:jc w:val="both"/>
        <w:rPr>
          <w:rFonts w:ascii="Book Antiqua" w:hAnsi="Book Antiqua"/>
          <w:sz w:val="20"/>
          <w:szCs w:val="20"/>
        </w:rPr>
      </w:pPr>
    </w:p>
    <w:sectPr w:rsidR="008642E1" w:rsidRPr="008642E1" w:rsidSect="004C263C">
      <w:footerReference w:type="default" r:id="rId8"/>
      <w:pgSz w:w="12240" w:h="15840"/>
      <w:pgMar w:top="810" w:right="1440" w:bottom="1170" w:left="144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E1ED7" w14:textId="77777777" w:rsidR="00903CDF" w:rsidRDefault="00903CDF" w:rsidP="002B720B">
      <w:pPr>
        <w:spacing w:after="0" w:line="240" w:lineRule="auto"/>
      </w:pPr>
      <w:r>
        <w:separator/>
      </w:r>
    </w:p>
  </w:endnote>
  <w:endnote w:type="continuationSeparator" w:id="0">
    <w:p w14:paraId="316E1ED8" w14:textId="77777777" w:rsidR="00903CDF" w:rsidRDefault="00903CDF" w:rsidP="002B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E1EDA" w14:textId="5351D526" w:rsidR="002B720B" w:rsidRPr="00D40782" w:rsidRDefault="00D40782">
    <w:pPr>
      <w:pStyle w:val="Footer"/>
      <w:rPr>
        <w:rFonts w:ascii="Book Antiqua" w:hAnsi="Book Antiqua"/>
        <w:sz w:val="16"/>
        <w:szCs w:val="16"/>
      </w:rPr>
    </w:pPr>
    <w:r>
      <w:rPr>
        <w:rFonts w:ascii="Book Antiqua" w:hAnsi="Book Antiqua"/>
        <w:sz w:val="16"/>
        <w:szCs w:val="16"/>
      </w:rPr>
      <w:t>This is an example policy and can be modified. It is recommended by United Physician Services that all the organization policies and procedures be readily available (real time) to all employees within the working facility.</w:t>
    </w:r>
    <w:r>
      <w:rPr>
        <w:rFonts w:ascii="Book Antiqua" w:hAnsi="Book Antiqua"/>
        <w:sz w:val="16"/>
        <w:szCs w:val="16"/>
      </w:rPr>
      <w:br/>
      <w:t xml:space="preserve">© United Physician Services; Permission of use granted to original purchaser only.  Resource Provided by United Physician Services – </w:t>
    </w:r>
    <w:hyperlink r:id="rId1" w:history="1">
      <w:r>
        <w:rPr>
          <w:rStyle w:val="Hyperlink"/>
          <w:rFonts w:ascii="Book Antiqua" w:hAnsi="Book Antiqua"/>
          <w:sz w:val="16"/>
          <w:szCs w:val="16"/>
        </w:rPr>
        <w:t>www.upshealthcare.com</w:t>
      </w:r>
    </w:hyperlink>
    <w:r>
      <w:rPr>
        <w:rFonts w:ascii="Book Antiqua" w:hAnsi="Book Antiqua"/>
        <w:sz w:val="16"/>
        <w:szCs w:val="16"/>
      </w:rPr>
      <w:t>; 602.685.9500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E1ED5" w14:textId="77777777" w:rsidR="00903CDF" w:rsidRDefault="00903CDF" w:rsidP="002B720B">
      <w:pPr>
        <w:spacing w:after="0" w:line="240" w:lineRule="auto"/>
      </w:pPr>
      <w:r>
        <w:separator/>
      </w:r>
    </w:p>
  </w:footnote>
  <w:footnote w:type="continuationSeparator" w:id="0">
    <w:p w14:paraId="316E1ED6" w14:textId="77777777" w:rsidR="00903CDF" w:rsidRDefault="00903CDF" w:rsidP="002B72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90100"/>
    <w:multiLevelType w:val="hybridMultilevel"/>
    <w:tmpl w:val="03C63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B3E28"/>
    <w:multiLevelType w:val="hybridMultilevel"/>
    <w:tmpl w:val="8654DDEE"/>
    <w:lvl w:ilvl="0" w:tplc="67848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3F2FC5"/>
    <w:multiLevelType w:val="hybridMultilevel"/>
    <w:tmpl w:val="821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30453"/>
    <w:multiLevelType w:val="hybridMultilevel"/>
    <w:tmpl w:val="EB58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A2426F"/>
    <w:multiLevelType w:val="hybridMultilevel"/>
    <w:tmpl w:val="3AB0C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125AB2"/>
    <w:multiLevelType w:val="hybridMultilevel"/>
    <w:tmpl w:val="DC7AC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A0"/>
    <w:rsid w:val="00043088"/>
    <w:rsid w:val="00116439"/>
    <w:rsid w:val="00132365"/>
    <w:rsid w:val="00187950"/>
    <w:rsid w:val="002B720B"/>
    <w:rsid w:val="00315CC6"/>
    <w:rsid w:val="00341BF6"/>
    <w:rsid w:val="004C263C"/>
    <w:rsid w:val="004D7206"/>
    <w:rsid w:val="005E1B76"/>
    <w:rsid w:val="00662668"/>
    <w:rsid w:val="00791682"/>
    <w:rsid w:val="0085692F"/>
    <w:rsid w:val="008642E1"/>
    <w:rsid w:val="00873AA0"/>
    <w:rsid w:val="00903CDF"/>
    <w:rsid w:val="00974DCC"/>
    <w:rsid w:val="00B20F7B"/>
    <w:rsid w:val="00B830C8"/>
    <w:rsid w:val="00B84F72"/>
    <w:rsid w:val="00D009AE"/>
    <w:rsid w:val="00D40782"/>
    <w:rsid w:val="00D70723"/>
    <w:rsid w:val="00F8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1E93"/>
  <w15:docId w15:val="{9AE61AC0-1467-4EFB-A196-A91EF4BB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668"/>
    <w:pPr>
      <w:ind w:left="720"/>
      <w:contextualSpacing/>
    </w:pPr>
  </w:style>
  <w:style w:type="character" w:styleId="Hyperlink">
    <w:name w:val="Hyperlink"/>
    <w:basedOn w:val="DefaultParagraphFont"/>
    <w:semiHidden/>
    <w:unhideWhenUsed/>
    <w:rsid w:val="00B20F7B"/>
    <w:rPr>
      <w:color w:val="0000FF"/>
      <w:u w:val="single"/>
    </w:rPr>
  </w:style>
  <w:style w:type="paragraph" w:styleId="Header">
    <w:name w:val="header"/>
    <w:basedOn w:val="Normal"/>
    <w:link w:val="HeaderChar"/>
    <w:uiPriority w:val="99"/>
    <w:unhideWhenUsed/>
    <w:rsid w:val="002B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20B"/>
  </w:style>
  <w:style w:type="paragraph" w:styleId="Footer">
    <w:name w:val="footer"/>
    <w:basedOn w:val="Normal"/>
    <w:link w:val="FooterChar"/>
    <w:uiPriority w:val="99"/>
    <w:unhideWhenUsed/>
    <w:rsid w:val="002B7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20B"/>
  </w:style>
  <w:style w:type="paragraph" w:styleId="EndnoteText">
    <w:name w:val="endnote text"/>
    <w:basedOn w:val="Normal"/>
    <w:link w:val="EndnoteTextChar"/>
    <w:uiPriority w:val="99"/>
    <w:semiHidden/>
    <w:unhideWhenUsed/>
    <w:rsid w:val="008642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42E1"/>
    <w:rPr>
      <w:sz w:val="20"/>
      <w:szCs w:val="20"/>
    </w:rPr>
  </w:style>
  <w:style w:type="character" w:styleId="EndnoteReference">
    <w:name w:val="endnote reference"/>
    <w:basedOn w:val="DefaultParagraphFont"/>
    <w:uiPriority w:val="99"/>
    <w:semiHidden/>
    <w:unhideWhenUsed/>
    <w:rsid w:val="008642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00293">
      <w:bodyDiv w:val="1"/>
      <w:marLeft w:val="0"/>
      <w:marRight w:val="0"/>
      <w:marTop w:val="0"/>
      <w:marBottom w:val="0"/>
      <w:divBdr>
        <w:top w:val="none" w:sz="0" w:space="0" w:color="auto"/>
        <w:left w:val="none" w:sz="0" w:space="0" w:color="auto"/>
        <w:bottom w:val="none" w:sz="0" w:space="0" w:color="auto"/>
        <w:right w:val="none" w:sz="0" w:space="0" w:color="auto"/>
      </w:divBdr>
    </w:div>
    <w:div w:id="1039158861">
      <w:bodyDiv w:val="1"/>
      <w:marLeft w:val="0"/>
      <w:marRight w:val="0"/>
      <w:marTop w:val="0"/>
      <w:marBottom w:val="0"/>
      <w:divBdr>
        <w:top w:val="none" w:sz="0" w:space="0" w:color="auto"/>
        <w:left w:val="none" w:sz="0" w:space="0" w:color="auto"/>
        <w:bottom w:val="none" w:sz="0" w:space="0" w:color="auto"/>
        <w:right w:val="none" w:sz="0" w:space="0" w:color="auto"/>
      </w:divBdr>
    </w:div>
    <w:div w:id="1503475355">
      <w:bodyDiv w:val="1"/>
      <w:marLeft w:val="0"/>
      <w:marRight w:val="0"/>
      <w:marTop w:val="0"/>
      <w:marBottom w:val="0"/>
      <w:divBdr>
        <w:top w:val="none" w:sz="0" w:space="0" w:color="auto"/>
        <w:left w:val="none" w:sz="0" w:space="0" w:color="auto"/>
        <w:bottom w:val="none" w:sz="0" w:space="0" w:color="auto"/>
        <w:right w:val="none" w:sz="0" w:space="0" w:color="auto"/>
      </w:divBdr>
    </w:div>
    <w:div w:id="175224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pshealth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96932-1B3F-4B4A-A136-B21226A9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bhalonen</dc:creator>
  <cp:keywords/>
  <dc:description/>
  <cp:lastModifiedBy>Nathan Folsom</cp:lastModifiedBy>
  <cp:revision>3</cp:revision>
  <dcterms:created xsi:type="dcterms:W3CDTF">2015-01-22T21:21:00Z</dcterms:created>
  <dcterms:modified xsi:type="dcterms:W3CDTF">2015-02-04T21:18:00Z</dcterms:modified>
</cp:coreProperties>
</file>